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97CE4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after="0" w:beforeAutospacing="0" w:afterAutospacing="0"/>
        <w:ind w:left="120"/>
        <w:jc w:val="center"/>
      </w:pPr>
      <w:r>
        <w:rPr>
          <w:rFonts w:ascii="Times New Roman" w:hAnsi="Times New Roman"/>
          <w:color w:val="000000"/>
          <w:sz w:val="28"/>
        </w:rPr>
        <w:t>МИНИСТЕРСТВО ПРОСВЕЩЕНИЯ РОССИЙСКОЙ ФЕДЕРАЦИИ</w:t>
      </w:r>
    </w:p>
    <w:p>
      <w:pPr>
        <w:spacing w:lineRule="auto" w:line="408" w:after="0" w:beforeAutospacing="0" w:afterAutospacing="0"/>
        <w:ind w:left="120"/>
        <w:jc w:val="center"/>
      </w:pPr>
      <w:r>
        <w:rPr>
          <w:rFonts w:ascii="Times New Roman" w:hAnsi="Times New Roman"/>
          <w:color w:val="000000"/>
          <w:sz w:val="28"/>
        </w:rPr>
        <w:t>‌</w:t>
      </w:r>
      <w:bookmarkStart w:id="0" w:name="ab394930-da1d-4ba0-ac4d-738f874a3916"/>
      <w:r>
        <w:rPr>
          <w:rFonts w:ascii="Times New Roman" w:hAnsi="Times New Roman"/>
          <w:color w:val="000000"/>
          <w:sz w:val="28"/>
        </w:rPr>
        <w:t>Министерство образования и науки Забайкальского края</w:t>
      </w:r>
      <w:bookmarkEnd w:id="0"/>
      <w:r>
        <w:rPr>
          <w:rFonts w:ascii="Times New Roman" w:hAnsi="Times New Roman"/>
          <w:color w:val="000000"/>
          <w:sz w:val="28"/>
        </w:rPr>
        <w:t xml:space="preserve">‌‌ </w:t>
      </w:r>
    </w:p>
    <w:p>
      <w:pPr>
        <w:spacing w:lineRule="auto" w:line="408" w:after="0" w:beforeAutospacing="0" w:afterAutospacing="0"/>
        <w:ind w:left="120"/>
        <w:jc w:val="center"/>
      </w:pPr>
      <w:r>
        <w:rPr>
          <w:rFonts w:ascii="Times New Roman" w:hAnsi="Times New Roman"/>
          <w:color w:val="000000"/>
          <w:sz w:val="28"/>
        </w:rPr>
        <w:t>‌</w:t>
      </w:r>
      <w:bookmarkStart w:id="1" w:name="7d574f4c-8143-48c3-8ad3-2fcc5bdbaf43"/>
      <w:r>
        <w:rPr>
          <w:rFonts w:ascii="Times New Roman" w:hAnsi="Times New Roman"/>
          <w:color w:val="000000"/>
          <w:sz w:val="28"/>
        </w:rPr>
        <w:t>Нерчинско-Заводский муниципальный округ</w:t>
      </w:r>
      <w:bookmarkEnd w:id="1"/>
      <w:r>
        <w:rPr>
          <w:rFonts w:ascii="Times New Roman" w:hAnsi="Times New Roman"/>
          <w:color w:val="000000"/>
          <w:sz w:val="28"/>
        </w:rPr>
        <w:t>‌​</w:t>
      </w:r>
    </w:p>
    <w:p>
      <w:pPr>
        <w:spacing w:lineRule="auto" w:line="408" w:after="0" w:beforeAutospacing="0" w:afterAutospacing="0"/>
        <w:ind w:left="120"/>
        <w:jc w:val="center"/>
      </w:pPr>
      <w:r>
        <w:rPr>
          <w:rFonts w:ascii="Times New Roman" w:hAnsi="Times New Roman"/>
          <w:color w:val="000000"/>
          <w:sz w:val="28"/>
        </w:rPr>
        <w:t>МОУ "Горбуновская ООШ"</w:t>
      </w:r>
    </w:p>
    <w:p>
      <w:pPr>
        <w:spacing w:lineRule="auto" w:line="276" w:after="0" w:beforeAutospacing="0" w:afterAutospacing="0"/>
        <w:ind w:left="120"/>
      </w:pPr>
    </w:p>
    <w:p>
      <w:pPr>
        <w:spacing w:lineRule="auto" w:line="276" w:after="0" w:beforeAutospacing="0" w:afterAutospacing="0"/>
        <w:ind w:left="120"/>
      </w:pPr>
    </w:p>
    <w:p>
      <w:pPr>
        <w:spacing w:lineRule="auto" w:line="276" w:after="0" w:beforeAutospacing="0" w:afterAutospacing="0"/>
        <w:ind w:left="120"/>
      </w:pPr>
    </w:p>
    <w:p>
      <w:pPr>
        <w:spacing w:lineRule="auto" w:line="276" w:after="0" w:beforeAutospacing="0" w:afterAutospacing="0"/>
        <w:ind w:left="120"/>
      </w:pPr>
    </w:p>
    <w:tbl>
      <w:tblPr>
        <w:tblW w:w="0" w:type="auto"/>
        <w:tblLook w:val="04A0"/>
      </w:tblPr>
      <w:tblGrid/>
      <w:tr>
        <w:tc>
          <w:tcPr>
            <w:tcW w:w="3114" w:type="dxa"/>
          </w:tcPr>
          <w:p>
            <w:pPr>
              <w:spacing w:lineRule="auto" w:line="240" w:after="120" w:beforeAutospacing="0" w:afterAutospacing="0"/>
              <w:jc w:val="both"/>
              <w:rPr>
                <w:rFonts w:ascii="Times New Roman" w:hAnsi="Times New Roman"/>
                <w:color w:val="000000"/>
                <w:sz w:val="24"/>
              </w:rPr>
            </w:pPr>
          </w:p>
        </w:tc>
        <w:tc>
          <w:tcPr>
            <w:tcW w:w="3115" w:type="dxa"/>
          </w:tcPr>
          <w:p>
            <w:pPr>
              <w:spacing w:lineRule="auto" w:line="240" w:after="120" w:beforeAutospacing="0" w:afterAutospacing="0"/>
              <w:jc w:val="both"/>
              <w:rPr>
                <w:rFonts w:ascii="Times New Roman" w:hAnsi="Times New Roman"/>
                <w:color w:val="000000"/>
                <w:sz w:val="24"/>
              </w:rPr>
            </w:pPr>
          </w:p>
        </w:tc>
        <w:tc>
          <w:tcPr>
            <w:tcW w:w="3115" w:type="dxa"/>
          </w:tcPr>
          <w:p>
            <w:pPr>
              <w:spacing w:lineRule="auto" w:line="276" w:after="120" w:beforeAutospacing="0" w:afterAutospacing="0"/>
              <w:rPr>
                <w:rFonts w:ascii="Times New Roman" w:hAnsi="Times New Roman"/>
                <w:color w:val="000000"/>
                <w:sz w:val="28"/>
              </w:rPr>
            </w:pPr>
            <w:r>
              <w:rPr>
                <w:rFonts w:ascii="Times New Roman" w:hAnsi="Times New Roman"/>
                <w:color w:val="000000"/>
                <w:sz w:val="28"/>
              </w:rPr>
              <w:t>УТВЕРЖДЕНО</w:t>
            </w:r>
          </w:p>
          <w:p>
            <w:pPr>
              <w:spacing w:lineRule="auto" w:line="276" w:after="120" w:beforeAutospacing="0" w:afterAutospacing="0"/>
              <w:rPr>
                <w:rFonts w:ascii="Times New Roman" w:hAnsi="Times New Roman"/>
                <w:color w:val="000000"/>
                <w:sz w:val="28"/>
              </w:rPr>
            </w:pPr>
            <w:r>
              <w:rPr>
                <w:rFonts w:ascii="Times New Roman" w:hAnsi="Times New Roman"/>
                <w:color w:val="000000"/>
                <w:sz w:val="28"/>
              </w:rPr>
              <w:t>Директор школы</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Е.А.Фартусова</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приказ № 5</w:t>
            </w:r>
            <w:r>
              <w:rPr>
                <w:rFonts w:ascii="Times New Roman" w:hAnsi="Times New Roman"/>
                <w:color w:val="000000"/>
                <w:sz w:val="24"/>
              </w:rPr>
              <w:t>2</w:t>
            </w:r>
            <w:r>
              <w:rPr>
                <w:rFonts w:ascii="Times New Roman" w:hAnsi="Times New Roman"/>
                <w:color w:val="000000"/>
                <w:sz w:val="24"/>
              </w:rPr>
              <w:t xml:space="preserve">А от «1» сентября   2023 г.</w:t>
            </w:r>
          </w:p>
          <w:p>
            <w:pPr>
              <w:spacing w:lineRule="auto" w:line="240" w:after="120" w:beforeAutospacing="0" w:afterAutospacing="0"/>
              <w:jc w:val="both"/>
              <w:rPr>
                <w:rFonts w:ascii="Times New Roman" w:hAnsi="Times New Roman"/>
                <w:color w:val="000000"/>
                <w:sz w:val="24"/>
              </w:rPr>
            </w:pPr>
          </w:p>
        </w:tc>
      </w:tr>
    </w:tbl>
    <w:p>
      <w:pPr>
        <w:spacing w:lineRule="auto" w:line="276" w:after="0" w:beforeAutospacing="0" w:afterAutospacing="0"/>
        <w:ind w:left="120"/>
      </w:pPr>
    </w:p>
    <w:p>
      <w:pPr>
        <w:spacing w:lineRule="auto" w:line="276" w:after="0" w:beforeAutospacing="0" w:afterAutospacing="0"/>
        <w:ind w:left="120"/>
      </w:pPr>
      <w:r>
        <w:rPr>
          <w:rFonts w:ascii="Times New Roman" w:hAnsi="Times New Roman"/>
          <w:color w:val="000000"/>
          <w:sz w:val="28"/>
        </w:rPr>
        <w:t>‌</w:t>
      </w:r>
    </w:p>
    <w:p>
      <w:pPr>
        <w:spacing w:lineRule="auto" w:line="276" w:after="0" w:beforeAutospacing="0" w:afterAutospacing="0"/>
        <w:ind w:left="120"/>
      </w:pPr>
    </w:p>
    <w:p>
      <w:pPr>
        <w:spacing w:lineRule="auto" w:line="276" w:after="0" w:beforeAutospacing="0" w:afterAutospacing="0"/>
        <w:ind w:left="120"/>
      </w:pPr>
    </w:p>
    <w:p>
      <w:pPr>
        <w:spacing w:lineRule="auto" w:line="276" w:after="0" w:beforeAutospacing="0" w:afterAutospacing="0"/>
        <w:ind w:left="120"/>
      </w:pPr>
    </w:p>
    <w:p>
      <w:pPr>
        <w:spacing w:lineRule="auto" w:line="408" w:after="0" w:beforeAutospacing="0" w:afterAutospacing="0"/>
        <w:ind w:left="120"/>
        <w:jc w:val="center"/>
      </w:pPr>
      <w:r>
        <w:rPr>
          <w:rFonts w:ascii="Times New Roman" w:hAnsi="Times New Roman"/>
          <w:color w:val="000000"/>
          <w:sz w:val="28"/>
        </w:rPr>
        <w:t>РАБОЧАЯ ПРОГРАММА</w:t>
      </w:r>
    </w:p>
    <w:p>
      <w:pPr>
        <w:spacing w:lineRule="auto" w:line="408" w:after="0" w:beforeAutospacing="0" w:afterAutospacing="0"/>
        <w:ind w:left="120"/>
        <w:jc w:val="center"/>
      </w:pPr>
      <w:r>
        <w:rPr>
          <w:rFonts w:ascii="Times New Roman" w:hAnsi="Times New Roman"/>
          <w:color w:val="000000"/>
          <w:sz w:val="28"/>
        </w:rPr>
        <w:t>Шахматного кружка «Белая ладья»</w:t>
      </w: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ind w:left="120"/>
        <w:jc w:val="center"/>
      </w:pPr>
    </w:p>
    <w:p>
      <w:pPr>
        <w:spacing w:lineRule="auto" w:line="276" w:after="0" w:beforeAutospacing="0" w:afterAutospacing="0"/>
        <w:jc w:val="center"/>
        <w:rPr>
          <w:rFonts w:ascii="Times New Roman" w:hAnsi="Times New Roman"/>
          <w:color w:val="000000"/>
          <w:sz w:val="28"/>
        </w:rPr>
      </w:pPr>
      <w:bookmarkStart w:id="2" w:name="758c7860-019e-4f63-872b-044256b5f058"/>
    </w:p>
    <w:p>
      <w:pPr>
        <w:spacing w:lineRule="auto" w:line="276" w:after="0" w:beforeAutospacing="0" w:afterAutospacing="0"/>
        <w:jc w:val="center"/>
        <w:rPr>
          <w:rFonts w:ascii="Times New Roman" w:hAnsi="Times New Roman"/>
          <w:color w:val="000000"/>
          <w:sz w:val="28"/>
        </w:rPr>
      </w:pPr>
    </w:p>
    <w:p>
      <w:pPr>
        <w:spacing w:lineRule="auto" w:line="276" w:after="0" w:beforeAutospacing="0" w:afterAutospacing="0"/>
        <w:jc w:val="center"/>
      </w:pPr>
      <w:r>
        <w:rPr>
          <w:rFonts w:ascii="Times New Roman" w:hAnsi="Times New Roman"/>
          <w:color w:val="000000"/>
          <w:sz w:val="28"/>
        </w:rPr>
        <w:t>с. Горбуновка</w:t>
      </w:r>
      <w:bookmarkEnd w:id="2"/>
      <w:r>
        <w:rPr>
          <w:rFonts w:ascii="Times New Roman" w:hAnsi="Times New Roman"/>
          <w:color w:val="000000"/>
          <w:sz w:val="28"/>
        </w:rPr>
        <w:t xml:space="preserve">‌ </w:t>
      </w:r>
      <w:bookmarkStart w:id="3" w:name="7bcf231d-60ce-4601-b24b-153af6cd5e58"/>
      <w:r>
        <w:rPr>
          <w:rFonts w:ascii="Times New Roman" w:hAnsi="Times New Roman"/>
          <w:color w:val="000000"/>
          <w:sz w:val="28"/>
        </w:rPr>
        <w:t>2023 г.</w:t>
      </w:r>
      <w:bookmarkEnd w:id="3"/>
      <w:r>
        <w:rPr>
          <w:rFonts w:ascii="Times New Roman" w:hAnsi="Times New Roman"/>
          <w:color w:val="000000"/>
          <w:sz w:val="28"/>
        </w:rPr>
        <w:t>‌​</w:t>
      </w:r>
    </w:p>
    <w:p>
      <w:pPr>
        <w:shd w:val="clear" w:fill="FFFFFF"/>
        <w:spacing w:lineRule="auto" w:line="240" w:after="150" w:beforeAutospacing="0" w:afterAutospacing="0"/>
        <w:jc w:val="center"/>
        <w:rPr>
          <w:rFonts w:ascii="Times New Roman" w:hAnsi="Times New Roman"/>
          <w:color w:val="000000"/>
          <w:sz w:val="24"/>
        </w:rPr>
      </w:pPr>
    </w:p>
    <w:p>
      <w:pPr>
        <w:shd w:val="clear" w:fill="FFFFFF"/>
        <w:spacing w:lineRule="auto" w:line="240" w:after="150" w:beforeAutospacing="0" w:afterAutospacing="0"/>
        <w:jc w:val="center"/>
        <w:rPr>
          <w:rFonts w:ascii="Times New Roman" w:hAnsi="Times New Roman"/>
          <w:color w:val="000000"/>
          <w:sz w:val="24"/>
        </w:rPr>
      </w:pPr>
    </w:p>
    <w:p>
      <w:pPr>
        <w:shd w:val="clear" w:fill="FFFFFF"/>
        <w:spacing w:lineRule="auto" w:line="240" w:after="150" w:beforeAutospacing="0" w:afterAutospacing="0"/>
        <w:jc w:val="center"/>
        <w:rPr>
          <w:rFonts w:ascii="Times New Roman" w:hAnsi="Times New Roman"/>
          <w:color w:val="000000"/>
          <w:sz w:val="24"/>
        </w:rPr>
      </w:pP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Пояснительная записка.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Данная программа «Шахматы» реализует общеинтеллектуальное направление во внеурочной деятельности, в рамках Федерального государственного образовательного стандарта начального общего образования второго поколения.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Программа составлена на основе примерной программы спортивно-оздоровительного направления «Шахматная школа», Автор: А.А. Тимофеев и Примерной программы внеурочной деятельности. Начальное и основное образование под редакцией В.А. Горского, Москва, «Просвещение», 2011 г.</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Программа «Шахматная школа» предназначена для начинающих юных шахматистов и уже имеющих некоторый опыт игры в шахматы, проявляющих интерес к освоению высот мастерства шахматной игры.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Известный советский педагог В.А.Сухомлинский писал: «Шахматы – превосходная школа последовательного логического мышления… Игра в шахматы дисциплинирует мышление, воспитывает сосредоточенность, развивает память. Она должна войти в жизнь школы, как один из элементов умственной культуры».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Актуальность данной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Основным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Основные формы и средства обучения:</w:t>
      </w:r>
    </w:p>
    <w:p>
      <w:pPr>
        <w:numPr>
          <w:ilvl w:val="0"/>
          <w:numId w:val="2"/>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Практическая игра.</w:t>
      </w:r>
    </w:p>
    <w:p>
      <w:pPr>
        <w:numPr>
          <w:ilvl w:val="0"/>
          <w:numId w:val="2"/>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Решение шахматных задач, комбинаций и этюдов.</w:t>
      </w:r>
    </w:p>
    <w:p>
      <w:pPr>
        <w:numPr>
          <w:ilvl w:val="0"/>
          <w:numId w:val="2"/>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Дидактические игры и задания, игровые упражнения;</w:t>
      </w:r>
    </w:p>
    <w:p>
      <w:pPr>
        <w:numPr>
          <w:ilvl w:val="0"/>
          <w:numId w:val="2"/>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Теоретические занятия, шахматные игры, шахматные дидактические игрушки.</w:t>
      </w:r>
    </w:p>
    <w:p>
      <w:pPr>
        <w:numPr>
          <w:ilvl w:val="0"/>
          <w:numId w:val="2"/>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Участие в соревнованиях.</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Режим занятий</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На реализацию программы отводится 1 час в неделю, 36 часов в год.</w:t>
      </w: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 Содержание программы.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Рабочая программа по «Шахматам» составлена на основе авторской программы Тимофеева А.А. На реализацию программы отводится 1 час в неделю. В год 36 часов.</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Учителю дается право перераспределять количество часов, отведенное на изучение конкретных тем, а также варьировать последовательность прохождения тем в зависимости от собственного опыта, подготовленности учащихся, а также от условий работы в данном классе.</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t>Цель программы: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Задачи программы: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развитие мышления младшего школьника во всех его проявлениях — от наглядно-образного мышления до комбинаторного, тактического и творческого;</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организация общественно-полезной и досуговой деятельности учащихся;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формирование навыков позитивного коммуникативного общения;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воспитание способности к преодолению трудностей, целеустремлённости и настойчивости в достижении результата.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Это обеспечивается применением на занятиях доступных заданий по каждой теме для данной возрастной группы.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Сроки освоения программы: 1 год.</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t>Основные методы обучения: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Формирование шахматного мышления у ребёнка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отказ от общепринятых стереотипов.</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На начальном этапе преобладают игровой, наглядный и продуктивный методы. Они применяются: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при знакомстве с шахматными фигурами;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при изучении шахматной доски;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при обучении правилам игры;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при реализации материального перевеса.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Большую роль играют общие принципы ведения игры на различных этапах партии, где основным методом становится продуктивный. Для реализации на доске своего замысла, учащийся овладевает тактическим арсеналом шахмат, вследствие чего формируется алгоритм мышления: анализ позиции – мотив – идея – расчёт – ход. Продуктивный метод играет большую роль и при изучении дебютов и основ позиционной игры, особенно при изучении типовых позиций.</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При изучении дебютной теории основным методом является частично-поисковый. Наиболее эффективно изучение дебютной теории осуществляется в случае, когда большую часть работы ребёнок проделывает самостоятельно.</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В программе предусмотрены материалы для самостоятельного изучения обучающимися.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На более поздних этапах обучения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Метод проблемного обучения применяется при разборе партий мастеров разных направлений, творческое их осмысление помогает ребенку выработать свой собственный подход к игре.</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Использование этих методов предусматривает обучение самостоятельности детей в поисках решения самых разнообразных задач.</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Планируемые результаты: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овладение навыками игры в шахматы;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интеллектуальное развитие участников кружка;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результативное участие в соревнованиях различных уровней</w:t>
      </w: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Содержание программы «Шахматы»</w:t>
      </w: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(34 ч – 1 ч в неделю)</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Шахматная доска и фигуры (3 ч) Шахматная доска. Поля, линии. Легенда о возникновении шахмат. Обозначение полей и линий. Шахматные фигуры и их обозначения.</w:t>
      </w:r>
    </w:p>
    <w:p>
      <w:pPr>
        <w:shd w:val="clear" w:fill="FFFFFF"/>
        <w:spacing w:lineRule="auto" w:line="240" w:after="150" w:beforeAutospacing="0" w:afterAutospacing="0"/>
        <w:jc w:val="both"/>
        <w:rPr>
          <w:rFonts w:ascii="Times New Roman" w:hAnsi="Times New Roman"/>
          <w:color w:val="000000"/>
          <w:sz w:val="24"/>
        </w:rPr>
      </w:pPr>
      <w:r>
        <w:rPr>
          <w:rFonts w:ascii="Times New Roman" w:hAnsi="Times New Roman"/>
          <w:color w:val="000000"/>
          <w:sz w:val="24"/>
        </w:rPr>
        <w:t>Ходы и взятия фигур (11 ч) Ходы и взятия ладьи, слона, ферзя, короля и пешки. Ударность и подвижность фигур в зависимости от положения на доске. Угроза, нападение, защита. Превращение и взятие на проходе пешкой. Значение короля. Шах. Короткая и длинная рокировка. Начальная позиция. Запись шахматных позиций. Практическая игра.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Цель и результат шахматной партии. Шах, мат и пат (10 ч)</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Способы защиты от шаха. Открытый, двойной шах. Мат. Сходство и различие между понятиями шаха и мата. Алгоритм решения задач на мат в один ход. Пат. «Бешеные» фигуры. Сходство и различие между понятиями мата и пата. Выигрыш, ничья, виды ничьей (в том числе вечный шах). Правила шахматных соревнований. Шахматные часы.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Запись шахматных ходов (2 ч)</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Принцип записи перемещения фигуры. Полная и краткая нотация. Условные обозначения перемещения, взятия, рокировки. Шахматный диктант.</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Ценность шахматных фигур. Нападение и защита, размен (2 ч)</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Ценность фигур. Единица измерения ценности. Изменение ценности в зависимости от ситуации на доске. Размен. Равноценный и неравноценный размен. Материальный перевес, качество.</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Общие принципы разыгрывания дебюта (4 ч)</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Мобилизация фигур, безопасность короля, борьба за центр и </w:t>
        <w:br w:type="textWrapping"/>
        <w:t>расположение пешек в дебюте. Классификация дебютов. Анализ учебных партий. Дебютные ловушки.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Раннее развитие ферзя.</w:t>
        <w:br w:type="textWrapping"/>
        <w:t>Дебютные ловушки.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Шахматные соревнования.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Аттестация объединения. (1 ч.)</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Итоговая аттестация объединения. (1 ч.)</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t>Требования к уровню подготовки обучающихся по данной программе.</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К концу первого года обучения дети должны знать: - шахматную доску; -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 названия шахматных фигур: ладья, слон, ферзь, конь, пешка, король; - правила хода и взятия каждой фигуры; - рокировку; - двойной удар (шах); - одноходовые задачи.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дети должны уметь: - ориентироваться на шахматной доске; - правильно помещать шахматную доску между партнерами; - правильно расставлять начальную позицию; - различать горизонталь, вертикаль, диагональ; - играть партию от начала до конца, не нарушая правил; - решать лабиринтные задачи (маршруты фигур); - рокировать; - объявлять шах; - ставить мат; - решать элементарные задачи на мат в один ход; - планировать, контролировать и оценивать действия соперника.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Материально-техническое обеспечение.</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Учебно–методический комплект:</w:t>
      </w:r>
    </w:p>
    <w:p>
      <w:pPr>
        <w:numPr>
          <w:ilvl w:val="0"/>
          <w:numId w:val="3"/>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А.А. Тимофеев "Программа курса "Шахматы – школе: Для начальных классов общеобразовательных учреждений", 2011</w:t>
      </w:r>
    </w:p>
    <w:p>
      <w:pPr>
        <w:numPr>
          <w:ilvl w:val="0"/>
          <w:numId w:val="4"/>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Сборник программ внеурочной деятельности. / под ред. Н.Ф. Виноградовой – М.: «Вентана-Граф», 2012.</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Методические пособия:</w:t>
      </w:r>
    </w:p>
    <w:p>
      <w:pPr>
        <w:numPr>
          <w:ilvl w:val="0"/>
          <w:numId w:val="5"/>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Сухин И. Шахматы, первый год, или Там клетки черно-белые чудес и тайн полны: – Обнинск: Духовное возрождение, 1998.</w:t>
      </w:r>
    </w:p>
    <w:p>
      <w:pPr>
        <w:numPr>
          <w:ilvl w:val="0"/>
          <w:numId w:val="5"/>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Сухин И. Шахматы, первый год, или Учусь и учу. – Обнинск: Духовное возрождение, 1999.</w:t>
      </w:r>
    </w:p>
    <w:p>
      <w:pPr>
        <w:numPr>
          <w:ilvl w:val="0"/>
          <w:numId w:val="5"/>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Экранно–звуковые пособия:</w:t>
      </w:r>
    </w:p>
    <w:p>
      <w:pPr>
        <w:numPr>
          <w:ilvl w:val="0"/>
          <w:numId w:val="5"/>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Сухин И. Приключения в Шахматной стране. Первый шаг в мир шахмат. – М.: Диафильм, 1990.</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На занятиях используются:</w:t>
      </w:r>
    </w:p>
    <w:p>
      <w:pPr>
        <w:numPr>
          <w:ilvl w:val="0"/>
          <w:numId w:val="6"/>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шахматные часы;</w:t>
      </w:r>
    </w:p>
    <w:p>
      <w:pPr>
        <w:numPr>
          <w:ilvl w:val="0"/>
          <w:numId w:val="6"/>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словарь шахматных терминов;</w:t>
      </w:r>
    </w:p>
    <w:p>
      <w:pPr>
        <w:numPr>
          <w:ilvl w:val="0"/>
          <w:numId w:val="6"/>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комплекты шахматных фигур с досками.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Технические средства обучения:</w:t>
      </w:r>
    </w:p>
    <w:p>
      <w:pPr>
        <w:numPr>
          <w:ilvl w:val="0"/>
          <w:numId w:val="7"/>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ноутбук и проектор;</w:t>
      </w:r>
    </w:p>
    <w:p>
      <w:pPr>
        <w:numPr>
          <w:ilvl w:val="0"/>
          <w:numId w:val="7"/>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шахматы.</w:t>
      </w:r>
    </w:p>
    <w:p>
      <w:pPr>
        <w:shd w:val="clear" w:fill="FFFFFF"/>
        <w:spacing w:lineRule="auto" w:line="240" w:after="150" w:beforeAutospacing="0" w:afterAutospacing="0"/>
        <w:jc w:val="center"/>
        <w:rPr>
          <w:rFonts w:ascii="Times New Roman" w:hAnsi="Times New Roman"/>
          <w:color w:val="000000"/>
          <w:sz w:val="24"/>
        </w:rPr>
      </w:pP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 Учебный план.</w:t>
      </w:r>
    </w:p>
    <w:tbl>
      <w:tblPr>
        <w:tblW w:w="10632" w:type="dxa"/>
        <w:tblInd w:w="-1001" w:type="dxa"/>
        <w:shd w:val="clear" w:fill="FFFFFF"/>
        <w:tblLayout w:type="fixed"/>
        <w:tblCellMar>
          <w:top w:w="105" w:type="dxa"/>
          <w:left w:w="105" w:type="dxa"/>
          <w:bottom w:w="105" w:type="dxa"/>
          <w:right w:w="105" w:type="dxa"/>
        </w:tblCellMar>
        <w:tblLook w:val="04A0"/>
      </w:tblPr>
      <w:tblGrid/>
      <w:tr>
        <w:tc>
          <w:tcPr>
            <w:tcW w:w="993" w:type="dxa"/>
            <w:vMerge w:val="restart"/>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 п\п</w:t>
            </w:r>
          </w:p>
        </w:tc>
        <w:tc>
          <w:tcPr>
            <w:tcW w:w="5812" w:type="dxa"/>
            <w:vMerge w:val="restart"/>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Темы</w:t>
            </w:r>
          </w:p>
        </w:tc>
        <w:tc>
          <w:tcPr>
            <w:tcW w:w="3827" w:type="dxa"/>
            <w:gridSpan w:val="3"/>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Количество часов</w:t>
            </w:r>
          </w:p>
        </w:tc>
      </w:tr>
      <w:tr>
        <w:tc>
          <w:tcPr>
            <w:tcW w:w="993" w:type="dxa"/>
            <w:vMerge w:val="continue"/>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hideMark/>
          </w:tcPr>
          <w:p>
            <w:pPr>
              <w:spacing w:lineRule="auto" w:line="240" w:after="0" w:beforeAutospacing="0" w:afterAutospacing="0"/>
              <w:rPr>
                <w:rFonts w:ascii="Times New Roman" w:hAnsi="Times New Roman"/>
                <w:color w:val="000000"/>
                <w:sz w:val="24"/>
              </w:rPr>
            </w:pPr>
          </w:p>
        </w:tc>
        <w:tc>
          <w:tcPr>
            <w:tcW w:w="5812" w:type="dxa"/>
            <w:vMerge w:val="continue"/>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hideMark/>
          </w:tcPr>
          <w:p>
            <w:pPr>
              <w:spacing w:lineRule="auto" w:line="240" w:after="0" w:beforeAutospacing="0" w:afterAutospacing="0"/>
              <w:rPr>
                <w:rFonts w:ascii="Times New Roman" w:hAnsi="Times New Roman"/>
                <w:color w:val="000000"/>
                <w:sz w:val="24"/>
              </w:rPr>
            </w:pP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всего</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теория</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практика</w:t>
            </w:r>
          </w:p>
        </w:tc>
      </w:tr>
      <w:tr>
        <w:trPr>
          <w:trHeight w:hRule="atLeast" w:val="75"/>
        </w:trP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Шахматная доска и фигуры.</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r>
      <w:tr>
        <w:trPr>
          <w:trHeight w:hRule="atLeast" w:val="120"/>
        </w:trP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Ходы и взятия фигур.</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12</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7</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4</w:t>
            </w:r>
          </w:p>
        </w:tc>
      </w:tr>
      <w:tr>
        <w:trPr>
          <w:trHeight w:hRule="atLeast" w:val="120"/>
        </w:trP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Аттестация объединения.</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r>
      <w:tr>
        <w:trPr>
          <w:trHeight w:hRule="atLeast" w:val="450"/>
        </w:trP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w:t>
            </w: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Цель и результат шахматных партий. Шах, мат и пат.</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6</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4</w:t>
            </w:r>
          </w:p>
        </w:tc>
      </w:tr>
      <w:tr>
        <w:trPr>
          <w:trHeight w:hRule="atLeast" w:val="180"/>
        </w:trP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4.</w:t>
            </w: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Запись шахматных ходов.</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r>
      <w:tr>
        <w:trPr>
          <w:trHeight w:hRule="atLeast" w:val="210"/>
        </w:trP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5.</w:t>
            </w: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Ценность шахматных фигур. Нападение и защита, размен.</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w:t>
            </w:r>
          </w:p>
        </w:tc>
      </w:tr>
      <w:tr>
        <w:trPr>
          <w:trHeight w:hRule="atLeast" w:val="90"/>
        </w:trP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6.</w:t>
            </w: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Общие принципы разыгрывания дебюта.</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4</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r>
      <w:tr>
        <w:trPr>
          <w:trHeight w:hRule="atLeast" w:val="90"/>
        </w:trP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Шахматные соревнования.</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r>
      <w:tr>
        <w:trPr>
          <w:trHeight w:hRule="atLeast" w:val="90"/>
        </w:trP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Подведение итогов курса. Итоговая аттестациям объединения.</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r>
      <w:tr>
        <w:tc>
          <w:tcPr>
            <w:tcW w:w="99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c>
          <w:tcPr>
            <w:tcW w:w="5812"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Итого</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34</w:t>
            </w:r>
          </w:p>
        </w:tc>
        <w:tc>
          <w:tcPr>
            <w:tcW w:w="1134"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22</w:t>
            </w:r>
          </w:p>
        </w:tc>
        <w:tc>
          <w:tcPr>
            <w:tcW w:w="155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12</w:t>
            </w:r>
          </w:p>
          <w:p>
            <w:pPr>
              <w:spacing w:lineRule="auto" w:line="240" w:after="150" w:beforeAutospacing="0" w:afterAutospacing="0"/>
              <w:jc w:val="center"/>
              <w:rPr>
                <w:rFonts w:ascii="Times New Roman" w:hAnsi="Times New Roman"/>
                <w:color w:val="000000"/>
                <w:sz w:val="24"/>
              </w:rPr>
            </w:pPr>
          </w:p>
        </w:tc>
      </w:tr>
    </w:tbl>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r>
    </w:p>
    <w:p>
      <w:pPr>
        <w:shd w:val="clear" w:fill="FFFFFF"/>
        <w:spacing w:lineRule="auto" w:line="240" w:after="150" w:beforeAutospacing="0" w:afterAutospacing="0"/>
        <w:jc w:val="center"/>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5. Учебно-тематический план.</w:t>
      </w:r>
    </w:p>
    <w:tbl>
      <w:tblPr>
        <w:tblW w:w="9490" w:type="dxa"/>
        <w:shd w:val="clear" w:fill="FFFFFF"/>
        <w:tblLayout w:type="fixed"/>
        <w:tblCellMar>
          <w:top w:w="105" w:type="dxa"/>
          <w:left w:w="105" w:type="dxa"/>
          <w:bottom w:w="105" w:type="dxa"/>
          <w:right w:w="105" w:type="dxa"/>
        </w:tblCellMar>
        <w:tblLook w:val="04A0"/>
      </w:tblPr>
      <w:tblGrid/>
      <w:tr>
        <w:trPr>
          <w:gridAfter w:val="1"/>
          <w:wAfter w:w="2273" w:type="dxa"/>
        </w:trPr>
        <w:tc>
          <w:tcPr>
            <w:tcW w:w="968" w:type="dxa"/>
            <w:vMerge w:val="restart"/>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 п\п</w:t>
            </w:r>
          </w:p>
        </w:tc>
        <w:tc>
          <w:tcPr>
            <w:tcW w:w="2710" w:type="dxa"/>
            <w:vMerge w:val="restart"/>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Темы</w:t>
            </w:r>
          </w:p>
        </w:tc>
        <w:tc>
          <w:tcPr>
            <w:tcW w:w="3539" w:type="dxa"/>
            <w:gridSpan w:val="3"/>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Количество часов</w:t>
            </w:r>
          </w:p>
        </w:tc>
      </w:tr>
      <w:tr>
        <w:tc>
          <w:tcPr>
            <w:tcW w:w="968" w:type="dxa"/>
            <w:vMerge w:val="continue"/>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hideMark/>
          </w:tcPr>
          <w:p>
            <w:pPr>
              <w:spacing w:lineRule="auto" w:line="240" w:after="0" w:beforeAutospacing="0" w:afterAutospacing="0"/>
              <w:rPr>
                <w:rFonts w:ascii="Times New Roman" w:hAnsi="Times New Roman"/>
                <w:color w:val="000000"/>
                <w:sz w:val="24"/>
              </w:rPr>
            </w:pPr>
          </w:p>
        </w:tc>
        <w:tc>
          <w:tcPr>
            <w:tcW w:w="2710" w:type="dxa"/>
            <w:vMerge w:val="continue"/>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hideMark/>
          </w:tcPr>
          <w:p>
            <w:pPr>
              <w:spacing w:lineRule="auto" w:line="240" w:after="0" w:beforeAutospacing="0" w:afterAutospacing="0"/>
              <w:rPr>
                <w:rFonts w:ascii="Times New Roman" w:hAnsi="Times New Roman"/>
                <w:color w:val="000000"/>
                <w:sz w:val="24"/>
              </w:rPr>
            </w:pP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всего</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теория</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практика</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r>
        <w:trPr>
          <w:trHeight w:hRule="atLeast" w:val="75"/>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1-3</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Шахматная доска и фигуры.</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фронтальный опрос</w:t>
            </w: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4-16</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Ходы и взятия фигур.</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12</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7</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4</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4</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Шахматные фигуры.</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5</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Начальное положение.</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6,7</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Ладья.</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8,9</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Слон.</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10</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Ладья против слона.</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фронтальный опрос</w:t>
            </w: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11, 12</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Ферзь.</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13</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Ферзь против ладьи.</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14, 15</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Конь.</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16</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Конь против ферзя, ладьи, слона.</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p>
            <w:pPr>
              <w:spacing w:lineRule="auto" w:line="240" w:after="150" w:beforeAutospacing="0" w:afterAutospacing="0"/>
              <w:rPr>
                <w:rFonts w:ascii="Times New Roman" w:hAnsi="Times New Roman"/>
                <w:color w:val="000000"/>
                <w:sz w:val="24"/>
              </w:rPr>
            </w:pPr>
          </w:p>
        </w:tc>
      </w:tr>
      <w:tr>
        <w:trPr>
          <w:trHeight w:hRule="atLeast" w:val="12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17</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Аттестация объединения.</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тестирование</w:t>
            </w:r>
          </w:p>
        </w:tc>
      </w:tr>
      <w:tr>
        <w:trPr>
          <w:trHeight w:hRule="atLeast" w:val="45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17-26</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Цель и результат шахматных партий. Шах, мат и пат.</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6</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4</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r>
        <w:trPr>
          <w:trHeight w:hRule="atLeast" w:val="21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17, 18</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Пешка.</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45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19</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Пешка против ферзя, ладьи, коня, слона.</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285"/>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20, 21</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Король.</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315"/>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22</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Король против других фигур.</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тестирование</w:t>
            </w:r>
          </w:p>
        </w:tc>
      </w:tr>
      <w:tr>
        <w:trPr>
          <w:trHeight w:hRule="atLeast" w:val="315"/>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23, 24</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315"/>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25,</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26</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Мат.</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18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27-28</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Запись шахматных ходов.</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r>
        <w:trPr>
          <w:trHeight w:hRule="atLeast" w:val="18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27</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Условные обозначения перемещения, взятия.</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18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28</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Рокировка.</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21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29-30</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Ценность шахматных фигур. Нападение и защита, размен.</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r>
        <w:trPr>
          <w:trHeight w:hRule="atLeast" w:val="21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29</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Ценность фигур. Единица измерения ценности.</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39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30</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Размен. Равноценный и неравноценный размен.</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индивидуальный и фронтальный опрос</w:t>
            </w:r>
          </w:p>
        </w:tc>
      </w:tr>
      <w:tr>
        <w:trPr>
          <w:trHeight w:hRule="atLeast" w:val="572"/>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31-34</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Общие принципы разыгрывания дебюта.</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4</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p>
            <w:pPr>
              <w:spacing w:lineRule="auto" w:line="240" w:after="150" w:beforeAutospacing="0" w:afterAutospacing="0"/>
              <w:rPr>
                <w:rFonts w:ascii="Times New Roman" w:hAnsi="Times New Roman"/>
                <w:color w:val="000000"/>
                <w:sz w:val="24"/>
              </w:rPr>
            </w:pPr>
          </w:p>
          <w:p>
            <w:pPr>
              <w:spacing w:lineRule="auto" w:line="240" w:after="150" w:beforeAutospacing="0" w:afterAutospacing="0"/>
              <w:rPr>
                <w:rFonts w:ascii="Times New Roman" w:hAnsi="Times New Roman"/>
                <w:color w:val="000000"/>
                <w:sz w:val="24"/>
              </w:rPr>
            </w:pPr>
          </w:p>
        </w:tc>
      </w:tr>
      <w:tr>
        <w:trPr>
          <w:trHeight w:hRule="atLeast" w:val="9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31</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Мобилизация фигур, безопасность короля, борьба за центр и расположение пешек в дебюте.</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9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32</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Раннее развитие ферзя.</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9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33,</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34</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Дебютные ловушки.</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33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35</w:t>
            </w:r>
          </w:p>
          <w:p>
            <w:pPr>
              <w:spacing w:lineRule="auto" w:line="240" w:after="150" w:beforeAutospacing="0" w:afterAutospacing="0"/>
              <w:rPr>
                <w:rFonts w:ascii="Times New Roman" w:hAnsi="Times New Roman"/>
                <w:color w:val="000000"/>
                <w:sz w:val="24"/>
              </w:rPr>
            </w:pPr>
          </w:p>
          <w:p>
            <w:pPr>
              <w:spacing w:lineRule="auto" w:line="240" w:after="150" w:beforeAutospacing="0" w:afterAutospacing="0"/>
              <w:rPr>
                <w:rFonts w:ascii="Times New Roman" w:hAnsi="Times New Roman"/>
                <w:color w:val="000000"/>
                <w:sz w:val="24"/>
              </w:rPr>
            </w:pP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Шахматные соревнования.</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соревнования</w:t>
            </w:r>
          </w:p>
        </w:tc>
      </w:tr>
      <w:tr>
        <w:trPr>
          <w:trHeight w:hRule="atLeast" w:val="90"/>
        </w:trP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36</w:t>
            </w: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Подведение итогов курса. Итоговая аттестация объединения.</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итоговое тестирование</w:t>
            </w:r>
          </w:p>
        </w:tc>
      </w:tr>
      <w:tr>
        <w:tc>
          <w:tcPr>
            <w:tcW w:w="968"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c>
          <w:tcPr>
            <w:tcW w:w="2710"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Итого</w:t>
            </w:r>
          </w:p>
        </w:tc>
        <w:tc>
          <w:tcPr>
            <w:tcW w:w="98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34</w:t>
            </w:r>
          </w:p>
        </w:tc>
        <w:tc>
          <w:tcPr>
            <w:tcW w:w="1101"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22</w:t>
            </w:r>
          </w:p>
        </w:tc>
        <w:tc>
          <w:tcPr>
            <w:tcW w:w="1449"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12</w:t>
            </w:r>
          </w:p>
        </w:tc>
        <w:tc>
          <w:tcPr>
            <w:tcW w:w="2273" w:type="dxa"/>
            <w:tcBorders>
              <w:top w:val="single" w:sz="6" w:space="0" w:shadow="0" w:frame="0" w:color="000001"/>
              <w:left w:val="single" w:sz="6" w:space="0" w:shadow="0" w:frame="0" w:color="000001"/>
              <w:bottom w:val="single" w:sz="6" w:space="0" w:shadow="0" w:frame="0" w:color="000001"/>
              <w:right w:val="single" w:sz="6" w:space="0" w:shadow="0" w:frame="0" w:color="000001"/>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bl>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Форма проведения занятий: лекция и 15-20 минут практики на каждом занятии.</w:t>
      </w:r>
    </w:p>
    <w:p>
      <w:pPr>
        <w:shd w:val="clear" w:fill="FFFFFF"/>
        <w:spacing w:lineRule="auto" w:line="240" w:after="150" w:beforeAutospacing="0" w:afterAutospacing="0"/>
        <w:jc w:val="center"/>
        <w:rPr>
          <w:rFonts w:ascii="Times New Roman" w:hAnsi="Times New Roman"/>
          <w:color w:val="000000"/>
          <w:sz w:val="24"/>
        </w:rPr>
      </w:pPr>
    </w:p>
    <w:p>
      <w:pPr>
        <w:shd w:val="clear" w:fill="FFFFFF"/>
        <w:spacing w:lineRule="auto" w:line="240" w:after="150" w:beforeAutospacing="0" w:afterAutospacing="0"/>
        <w:jc w:val="center"/>
        <w:rPr>
          <w:rFonts w:ascii="Times New Roman" w:hAnsi="Times New Roman"/>
          <w:color w:val="000000"/>
          <w:sz w:val="24"/>
        </w:rPr>
      </w:pP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6. Оценочные материалы.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Диагностика знаний обучающихся по теоретическим вопросам проводится с помощью различных тестов, викторин, игр. Сформированность практических навыков определяется правильностью участия в проведённых играх, качеством решения этюдов и практических задач.</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Степень достижения результатов оценивается по трем уровням:</w:t>
      </w:r>
    </w:p>
    <w:p>
      <w:pPr>
        <w:shd w:val="clear" w:fill="FFFFFF"/>
        <w:spacing w:lineRule="auto" w:line="240" w:after="150" w:beforeAutospacing="0" w:afterAutospacing="0"/>
        <w:jc w:val="right"/>
        <w:rPr>
          <w:rFonts w:ascii="Times New Roman" w:hAnsi="Times New Roman"/>
          <w:color w:val="000000"/>
          <w:sz w:val="24"/>
        </w:rPr>
      </w:pPr>
    </w:p>
    <w:p>
      <w:pPr>
        <w:shd w:val="clear" w:fill="FFFFFF"/>
        <w:spacing w:lineRule="auto" w:line="240" w:after="150" w:beforeAutospacing="0" w:afterAutospacing="0"/>
        <w:jc w:val="right"/>
        <w:rPr>
          <w:rFonts w:ascii="Times New Roman" w:hAnsi="Times New Roman"/>
          <w:color w:val="000000"/>
          <w:sz w:val="24"/>
        </w:rPr>
      </w:pPr>
    </w:p>
    <w:p>
      <w:pPr>
        <w:shd w:val="clear" w:fill="FFFFFF"/>
        <w:spacing w:lineRule="auto" w:line="240" w:after="150" w:beforeAutospacing="0" w:afterAutospacing="0"/>
        <w:jc w:val="right"/>
        <w:rPr>
          <w:rFonts w:ascii="Times New Roman" w:hAnsi="Times New Roman"/>
          <w:color w:val="000000"/>
          <w:sz w:val="24"/>
        </w:rPr>
      </w:pPr>
      <w:r>
        <w:rPr>
          <w:rFonts w:ascii="Times New Roman" w:hAnsi="Times New Roman"/>
          <w:color w:val="000000"/>
          <w:sz w:val="24"/>
        </w:rPr>
        <w:t>Приложение 1</w:t>
      </w:r>
    </w:p>
    <w:p>
      <w:pPr>
        <w:numPr>
          <w:ilvl w:val="0"/>
          <w:numId w:val="8"/>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низкий уровень: обучающийся выполняет задания по инструкции, под руководством педагога, без желания участвует в играх, викторинах;</w:t>
      </w:r>
    </w:p>
    <w:p>
      <w:pPr>
        <w:numPr>
          <w:ilvl w:val="0"/>
          <w:numId w:val="8"/>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средний уровень: обучающийся выполняет задания при консультативной помощи педагога, охотно участвует в играх, викторинах, но сам не проявляет инициативы;</w:t>
      </w:r>
    </w:p>
    <w:p>
      <w:pPr>
        <w:numPr>
          <w:ilvl w:val="0"/>
          <w:numId w:val="8"/>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высокий уровень: обучающийся выполняет задание самостоятельно, сам проявляет творчество и инициативу в организации своей деятельности.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Для отслеживания результатов предусматриваются в следующие формы контроля:</w:t>
      </w:r>
    </w:p>
    <w:p>
      <w:pPr>
        <w:numPr>
          <w:ilvl w:val="0"/>
          <w:numId w:val="9"/>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Текущий:</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оценка усвоения изучаемого материала осуществляется педагогом в форме наблюдения, фронтального и индивидуального опроса, выполнения творческих заданий;</w:t>
      </w:r>
    </w:p>
    <w:p>
      <w:pPr>
        <w:numPr>
          <w:ilvl w:val="0"/>
          <w:numId w:val="10"/>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Промежуточный контроль: - тестирование, письменный опрос для определения объёма усвоенных знаний;</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практическая работа.</w:t>
      </w:r>
    </w:p>
    <w:p>
      <w:pPr>
        <w:numPr>
          <w:ilvl w:val="0"/>
          <w:numId w:val="11"/>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Итоговый контроль   в формах:</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тестирование, письменный опрос для определения объёма усвоенных знаний;</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практическая работа (игра, решение задач).</w:t>
      </w: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Для оценки эффективности занятий   можно использовать следующие показатели: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степень помощи, которую оказывает учитель обучающимся при выполнении заданий: чем помощь учителя меньше, тем выше самостоятельность учеников и, следовательно, выше развивающий эффект занятий;</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поведение обучающихся на занятиях: живость, активность, заинтересованность школьников обеспечивают положительные результаты занятий; – результаты выполнения тестовых заданий, при выполнении которых выявляется, справляются ли ученики с этими заданиями самостоятельно.</w:t>
      </w: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Виды контроля:</w:t>
      </w:r>
    </w:p>
    <w:p>
      <w:pPr>
        <w:numPr>
          <w:ilvl w:val="0"/>
          <w:numId w:val="12"/>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текущий контроль (оценка усвоения изучаемого материала) осуществляется педагогом в форме наблюдения;</w:t>
      </w:r>
    </w:p>
    <w:p>
      <w:pPr>
        <w:numPr>
          <w:ilvl w:val="0"/>
          <w:numId w:val="12"/>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промежуточный контроль проводится один раз в полугодие в форме в форме тестирования, выполнения тестовых упражнений по определению уровня освоенных навыков,</w:t>
      </w:r>
    </w:p>
    <w:p>
      <w:pPr>
        <w:numPr>
          <w:ilvl w:val="0"/>
          <w:numId w:val="12"/>
        </w:num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итоговая аттестация, проводится в конце учебного года в форме тестирования для определения уровня освоенных навыков, а также письменный опрос для определения объема освоенных теоретических знаний.</w:t>
      </w: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Список литературы.</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Для учителя: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Примерные программы внеурочной деятельности. Начальное и основное образование / под ред. В.А.Горского – М.: Просвещение, 2011.</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А.А. Тимофеев "Программа курса "Шахматы – школе: Для начальных классов общеобразовательных учреждений", 2011.</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Сборник программ внеурочной деятельности. 1-4 классы / под ред. Н.Ф. Виноградовой – М.: «Вентана-Граф», 2012.</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Костров В.В. Шахматный учебник для детей и родителей - СПб.: ИД «Литера»,2005.</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Пожарский В.А. Шахматный учебник./ В.А. Пожарский.- М., 1996.</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Тимофеев А.А. Межпредметные связи шахмат как учебного предмета в начальной школе// Шахматный всеобуч.-1996.-№ 3.</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Тимофеев А.А. Общие подходы к концепции «Шахматы как учебный предмет» в начальной школе// Начальное образование.-2006.- № 4.</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Сухин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Сухин И. Шахматы, первый год, или учусь и учу: Пособие для учителя – Обнинск: Духовное возрождение, 1999.</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Шахматы. Энциклопедический словарь. / М: Советская энциклопедия, 1990.</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Для учеников:</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Учебник И.Г. Сухин. Шахматы, первый год, или Там клетки черно-белые чудес и тайн полны. / М.: Просвещение, 2007.</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Приложение 1</w:t>
      </w: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Мониторинг результатов обучения ребенка</w:t>
      </w: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по дополнительной общеобразовательной общеразвивающей программе</w:t>
      </w:r>
    </w:p>
    <w:tbl>
      <w:tblPr>
        <w:tblW w:w="10490" w:type="dxa"/>
        <w:tblInd w:w="-717" w:type="dxa"/>
        <w:shd w:val="clear" w:fill="FFFFFF"/>
        <w:tblLayout w:type="fixed"/>
        <w:tblCellMar>
          <w:top w:w="105" w:type="dxa"/>
          <w:left w:w="105" w:type="dxa"/>
          <w:bottom w:w="105" w:type="dxa"/>
          <w:right w:w="105" w:type="dxa"/>
        </w:tblCellMar>
        <w:tblLook w:val="04A0"/>
      </w:tblPr>
      <w:tblGrid/>
      <w:tr>
        <w:trPr>
          <w:trHeight w:hRule="atLeast" w:val="180"/>
        </w:trP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Показатели</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(оцениваемые параметры)</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Критерии</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Степень выраженности оцениваемого качества</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Возможное количество баллов</w:t>
            </w: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ind w:right="1459"/>
              <w:jc w:val="both"/>
              <w:rPr>
                <w:rFonts w:ascii="Times New Roman" w:hAnsi="Times New Roman"/>
                <w:color w:val="000000"/>
                <w:sz w:val="24"/>
              </w:rPr>
            </w:pPr>
            <w:r>
              <w:rPr>
                <w:rFonts w:ascii="Times New Roman" w:hAnsi="Times New Roman"/>
                <w:color w:val="000000"/>
                <w:sz w:val="24"/>
              </w:rPr>
              <w:t>Методы диагностики</w:t>
            </w:r>
          </w:p>
        </w:tc>
      </w:tr>
      <w:tr>
        <w:trPr>
          <w:trHeight w:hRule="atLeast" w:val="315"/>
        </w:trPr>
        <w:tc>
          <w:tcPr>
            <w:tcW w:w="10490" w:type="dxa"/>
            <w:gridSpan w:val="5"/>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1.Теоретическая подготовка ребенка.</w:t>
            </w:r>
          </w:p>
        </w:tc>
      </w:tr>
      <w:tr>
        <w:trPr>
          <w:trHeight w:hRule="atLeast" w:val="495"/>
        </w:trP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1.1. Теоретические знания (по основным разделам учебно-тематического плана программы)</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Соответствие теоретических знаний ребенка программным требованиям</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минимальный уровень (ребенок овладел менее чем ½ объема знаний, предусмотренных программой);</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средний уровень (объем усвоенных знаний составляет более ½);</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максимальный уровень (ребенок освоил практически весь объем знаний, предусмотренных программой за конкретный период)</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 тестирование, контрольный опрос и др.</w:t>
            </w:r>
          </w:p>
        </w:tc>
      </w:tr>
      <w:tr>
        <w:trPr>
          <w:trHeight w:hRule="atLeast" w:val="2055"/>
        </w:trP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1.2. Владение специальной терминологией</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Осмысленность и правильность использования специальной терминологии</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минимальный уровень (ребенок, как правило, избегает употреблять специальные термины);</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средний уровень (ребенок сочетает специальную терминологию с бытовой);</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максимальный уровень (специальные термины употребляет осознанно и в полном соответствии с их содержанием)</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собеседование</w:t>
            </w:r>
          </w:p>
        </w:tc>
      </w:tr>
      <w:tr>
        <w:tc>
          <w:tcPr>
            <w:tcW w:w="10490" w:type="dxa"/>
            <w:gridSpan w:val="5"/>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 Практическая подготовка ребенка</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2.1. Практические умения и навыки, предусмотренные программой (по основным разделам учебно-тематического плана программы)</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Соответствие практических умений и навыков программным требованиям</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минимальный уровень (ребенок овладел менее чем ½ предусмотренных умений и знаний);</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средний уровень (объем усвоенных знаний составляет более ½);</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максимальный уровень (ребенок овладел практически всеми умениями и навыками, предусмотренными программой за конкретный период)</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Контрольное задание</w:t>
            </w:r>
          </w:p>
        </w:tc>
      </w:tr>
      <w:tr>
        <w:trPr>
          <w:trHeight w:hRule="atLeast" w:val="1899"/>
        </w:trP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2.2. Владение специальным оборудованием и оснащением</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Отсутствие затруднений в использовании специального оборудования</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минимальный уровень (ребенок испытывает серьезные затруднения при работе с оборудованием);</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средний уровень (ребенок работает с оборудованием с помощью педагога);</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максимальный уровень (работает с оборудованием самостоятельно, не испытывает особых трудностей)</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Контрольное задание</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2.3. Творческие навыки</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Креативность в выполнении практических заданий</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начальный (элементарный) уровень развития креативности (ребенок в состоянии выполнять лишь простейшие практические задания педагога);</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репродуктивный уровень (выполняет в основном задания на основе образца);</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-творческий уровень (выполняет практические задания с элементами творчества).</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Контрольное задание</w:t>
            </w:r>
          </w:p>
        </w:tc>
      </w:tr>
      <w:tr>
        <w:tc>
          <w:tcPr>
            <w:tcW w:w="10490" w:type="dxa"/>
            <w:gridSpan w:val="5"/>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 Общеучебные умения и навыки ребенка</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3.1. Учебно-интеллектуальные умения</w:t>
            </w:r>
          </w:p>
          <w:p>
            <w:pPr>
              <w:spacing w:lineRule="auto" w:line="240" w:after="150" w:beforeAutospacing="0" w:afterAutospacing="0"/>
              <w:rPr>
                <w:rFonts w:ascii="Times New Roman" w:hAnsi="Times New Roman"/>
                <w:color w:val="000000"/>
                <w:sz w:val="24"/>
              </w:rPr>
            </w:pP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3.1.1. Умение подбирать и анализировать специальную литературу</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Самостоятельность в подборе и анализе литературы</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минимальный уровень умений (обучающийся испытывает серьезные затруднения при работе с литературой, нуждается в постоянной помощи и контроле педагога);</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средний уровень (работает с литературой с помощью педагога или родителей);</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максимальный уровень (работает с литературой самостоятельно, не испытывает особых трудностей)</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Анализ</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Исследовательские работы</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3.1.2. Умение пользоваться компьютерными источниками информации</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Самостоятельность в пользовании компьютерными источниками информации</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Уровни – по аналогии с п.3.1.1.</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Анализ</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Исследовательские работы</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3.1.3. Умение осуществлять учебно-исследо-вательскую работу (писать рефераты, проводить самостоятельные учебные исследования)</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Самостоятельность в учебно-исследовательской работе</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Уровни – по аналогии с п.3.1.1.</w:t>
            </w:r>
          </w:p>
          <w:p>
            <w:pPr>
              <w:spacing w:lineRule="auto" w:line="240" w:after="150" w:beforeAutospacing="0" w:afterAutospacing="0"/>
              <w:rPr>
                <w:rFonts w:ascii="Times New Roman" w:hAnsi="Times New Roman"/>
                <w:color w:val="000000"/>
                <w:sz w:val="24"/>
              </w:rPr>
            </w:pP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Анализ</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Исследовательские работы</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3.2. Учебно-коммуникативные умения:</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Адекватность восприятия информации, идущей от педагога</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Уровни – по аналогии с п.3.1.1.</w:t>
            </w:r>
          </w:p>
          <w:p>
            <w:pPr>
              <w:spacing w:lineRule="auto" w:line="240" w:after="150" w:beforeAutospacing="0" w:afterAutospacing="0"/>
              <w:rPr>
                <w:rFonts w:ascii="Times New Roman" w:hAnsi="Times New Roman"/>
                <w:color w:val="000000"/>
                <w:sz w:val="24"/>
              </w:rPr>
            </w:pP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Анализ</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Исследовательские работы</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3.2.1. Умение слушать и слышать педагога</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Свобода владения и подачи обучающимся подготовленной информации</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Уровни – по аналогии с п.3.1.1.</w:t>
            </w:r>
          </w:p>
          <w:p>
            <w:pPr>
              <w:spacing w:lineRule="auto" w:line="240" w:after="150" w:beforeAutospacing="0" w:afterAutospacing="0"/>
              <w:rPr>
                <w:rFonts w:ascii="Times New Roman" w:hAnsi="Times New Roman"/>
                <w:color w:val="000000"/>
                <w:sz w:val="24"/>
              </w:rPr>
            </w:pP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Анализ</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Исследовательские работы</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3.2.2. Умение выступать перед аудиторией</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Самостоятельность в построении дискуссионного выступления, логика в построении доказательств</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Уровни – по аналогии с п.3.1.1.</w:t>
            </w:r>
          </w:p>
          <w:p>
            <w:pPr>
              <w:spacing w:lineRule="auto" w:line="240" w:after="150" w:beforeAutospacing="0" w:afterAutospacing="0"/>
              <w:rPr>
                <w:rFonts w:ascii="Times New Roman" w:hAnsi="Times New Roman"/>
                <w:color w:val="000000"/>
                <w:sz w:val="24"/>
              </w:rPr>
            </w:pP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Анализ</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Исследовательские работы</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3.2.3. Умение вести полемику, участвовать в дискуссии</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Самостоятельность в построении дискуссионного выступления, логика в построении доказательств</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Уровни – по аналогии с п.3.1.1.</w:t>
            </w:r>
          </w:p>
          <w:p>
            <w:pPr>
              <w:spacing w:lineRule="auto" w:line="240" w:after="150" w:beforeAutospacing="0" w:afterAutospacing="0"/>
              <w:rPr>
                <w:rFonts w:ascii="Times New Roman" w:hAnsi="Times New Roman"/>
                <w:color w:val="000000"/>
                <w:sz w:val="24"/>
              </w:rPr>
            </w:pP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Анализ</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Исследовательские работы</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3.3. Учебно-организационные умения и навыки:</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3.3.1. Умение организовать свое рабочее (учебное) место</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Способность самостоятельно готовить свое рабочее место к деятельности и убирать его за собой</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минимальный уровень (ребенок овладел менее чем ½ объема навыков соблюдения правил безопасности, предусмотренных программой);</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средний уровень (объем усвоенных знаний составляет более ½ );</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максимальный уровень (ребенок овладел практически весь объем навыков, предусмотренных программой за конкретный период)</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3.3.2. Навыки соблюдения в процессе деятельности правил безопасности</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Соответствие реальных навыков соблюдения правил безопасности программным требованиям</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r>
        <w:tc>
          <w:tcPr>
            <w:tcW w:w="212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3.3.3 Умение аккуратно выполнять работу</w:t>
            </w:r>
          </w:p>
        </w:tc>
        <w:tc>
          <w:tcPr>
            <w:tcW w:w="155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Аккуратность и ответственность в работе</w:t>
            </w:r>
          </w:p>
        </w:tc>
        <w:tc>
          <w:tcPr>
            <w:tcW w:w="255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Удовл. - хорошо -отлично</w:t>
            </w:r>
          </w:p>
        </w:tc>
        <w:tc>
          <w:tcPr>
            <w:tcW w:w="127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p>
        </w:tc>
        <w:tc>
          <w:tcPr>
            <w:tcW w:w="2977"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p>
        </w:tc>
      </w:tr>
    </w:tbl>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r>
    </w:p>
    <w:p>
      <w:pPr>
        <w:shd w:val="clear" w:fill="FFFFFF"/>
        <w:spacing w:lineRule="auto" w:line="240" w:after="150" w:beforeAutospacing="0" w:afterAutospacing="0"/>
        <w:jc w:val="center"/>
        <w:rPr>
          <w:rFonts w:ascii="Times New Roman" w:hAnsi="Times New Roman"/>
          <w:color w:val="000000"/>
          <w:sz w:val="24"/>
        </w:rPr>
      </w:pP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Мониторинг личностного развития ребенка в процессе освоения им дополнительной общеобразовательной общеразвивающей программе</w:t>
      </w:r>
    </w:p>
    <w:tbl>
      <w:tblPr>
        <w:tblW w:w="10773" w:type="dxa"/>
        <w:tblInd w:w="-1142" w:type="dxa"/>
        <w:shd w:val="clear" w:fill="FFFFFF"/>
        <w:tblCellMar>
          <w:top w:w="105" w:type="dxa"/>
          <w:left w:w="105" w:type="dxa"/>
          <w:bottom w:w="105" w:type="dxa"/>
          <w:right w:w="105" w:type="dxa"/>
        </w:tblCellMar>
        <w:tblLook w:val="04A0"/>
      </w:tblPr>
      <w:tblGrid/>
      <w:tr>
        <w:trPr>
          <w:trHeight w:hRule="atLeast" w:val="330"/>
        </w:trPr>
        <w:tc>
          <w:tcPr>
            <w:tcW w:w="223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Показатели (оцениваемые параметры)</w:t>
            </w:r>
          </w:p>
        </w:tc>
        <w:tc>
          <w:tcPr>
            <w:tcW w:w="223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Критерии</w:t>
            </w:r>
          </w:p>
        </w:tc>
        <w:tc>
          <w:tcPr>
            <w:tcW w:w="2193"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Степень выраженности оцениваемого качества</w:t>
            </w:r>
          </w:p>
        </w:tc>
        <w:tc>
          <w:tcPr>
            <w:tcW w:w="1701"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Возможное количество баллов</w:t>
            </w:r>
          </w:p>
        </w:tc>
        <w:tc>
          <w:tcPr>
            <w:tcW w:w="240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Методы диагностики</w:t>
            </w:r>
          </w:p>
        </w:tc>
      </w:tr>
      <w:tr>
        <w:trPr>
          <w:trHeight w:hRule="atLeast" w:val="60"/>
        </w:trPr>
        <w:tc>
          <w:tcPr>
            <w:tcW w:w="10773" w:type="dxa"/>
            <w:gridSpan w:val="5"/>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 Организационно-волевые качества:</w:t>
            </w:r>
          </w:p>
        </w:tc>
      </w:tr>
      <w:tr>
        <w:trPr>
          <w:trHeight w:hRule="atLeast" w:val="60"/>
        </w:trPr>
        <w:tc>
          <w:tcPr>
            <w:tcW w:w="223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1.1. Терпение</w:t>
            </w:r>
          </w:p>
        </w:tc>
        <w:tc>
          <w:tcPr>
            <w:tcW w:w="223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Способность переносить (выдерживать) известные нагрузки в течение определенного времени, преодолевать трудности</w:t>
            </w:r>
          </w:p>
        </w:tc>
        <w:tc>
          <w:tcPr>
            <w:tcW w:w="2193"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-терпения хватает меньше чем на ½ занятия</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терпения хватает больше чем на ½ занятия</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терпения хватает на все занятие</w:t>
            </w:r>
          </w:p>
        </w:tc>
        <w:tc>
          <w:tcPr>
            <w:tcW w:w="1701"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40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45"/>
        </w:trPr>
        <w:tc>
          <w:tcPr>
            <w:tcW w:w="223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1.2. Воля</w:t>
            </w:r>
          </w:p>
        </w:tc>
        <w:tc>
          <w:tcPr>
            <w:tcW w:w="223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Способность активно побуждать себя к практическим действиям</w:t>
            </w:r>
          </w:p>
        </w:tc>
        <w:tc>
          <w:tcPr>
            <w:tcW w:w="2193"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волевые усилия ребенка побеж-даются извне</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иногда – самим ребенком</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всегда – самим ребенком</w:t>
            </w:r>
          </w:p>
        </w:tc>
        <w:tc>
          <w:tcPr>
            <w:tcW w:w="1701"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40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60"/>
        </w:trPr>
        <w:tc>
          <w:tcPr>
            <w:tcW w:w="223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1.3. Самоконтроль</w:t>
            </w:r>
          </w:p>
        </w:tc>
        <w:tc>
          <w:tcPr>
            <w:tcW w:w="223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Умение контролировать свои поступки (приводить к должному свои действия)</w:t>
            </w:r>
          </w:p>
        </w:tc>
        <w:tc>
          <w:tcPr>
            <w:tcW w:w="2193"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ребенок постоянно действует под воздействием контроля извне</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периодически конт-ролирует себя сам</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постоянно контролирует себя сам</w:t>
            </w:r>
          </w:p>
        </w:tc>
        <w:tc>
          <w:tcPr>
            <w:tcW w:w="1701"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40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r>
        <w:trPr>
          <w:trHeight w:hRule="atLeast" w:val="60"/>
        </w:trPr>
        <w:tc>
          <w:tcPr>
            <w:tcW w:w="10773" w:type="dxa"/>
            <w:gridSpan w:val="5"/>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2. Ориентационные качества:</w:t>
            </w:r>
          </w:p>
        </w:tc>
      </w:tr>
      <w:tr>
        <w:trPr>
          <w:trHeight w:hRule="atLeast" w:val="60"/>
        </w:trPr>
        <w:tc>
          <w:tcPr>
            <w:tcW w:w="223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2.1. Самооценка</w:t>
            </w:r>
          </w:p>
        </w:tc>
        <w:tc>
          <w:tcPr>
            <w:tcW w:w="223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Способность оценивать себя адекватно реальным достижениям</w:t>
            </w:r>
          </w:p>
        </w:tc>
        <w:tc>
          <w:tcPr>
            <w:tcW w:w="2193"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завышенная</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заниженная</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нормальная</w:t>
            </w:r>
          </w:p>
        </w:tc>
        <w:tc>
          <w:tcPr>
            <w:tcW w:w="1701"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240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Анкетирование</w:t>
            </w:r>
          </w:p>
        </w:tc>
      </w:tr>
      <w:tr>
        <w:trPr>
          <w:trHeight w:hRule="atLeast" w:val="60"/>
        </w:trPr>
        <w:tc>
          <w:tcPr>
            <w:tcW w:w="223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2.2. Интерес к занятиям в детском объединении</w:t>
            </w:r>
          </w:p>
        </w:tc>
        <w:tc>
          <w:tcPr>
            <w:tcW w:w="223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Осознанное участие ребенка в освоении образовательной программы</w:t>
            </w:r>
          </w:p>
        </w:tc>
        <w:tc>
          <w:tcPr>
            <w:tcW w:w="2193"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интерес к занятиям продиктован ребенку извне</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интерес периодически поддерживается самим ребенком</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интерес постоянно поддерживается ребенком самостоятельно</w:t>
            </w:r>
          </w:p>
        </w:tc>
        <w:tc>
          <w:tcPr>
            <w:tcW w:w="1701"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r>
          </w:p>
          <w:p>
            <w:pPr>
              <w:spacing w:lineRule="auto" w:line="240" w:after="150" w:beforeAutospacing="0" w:afterAutospacing="0"/>
              <w:jc w:val="center"/>
              <w:rPr>
                <w:rFonts w:ascii="Times New Roman" w:hAnsi="Times New Roman"/>
                <w:color w:val="000000"/>
                <w:sz w:val="24"/>
              </w:rPr>
            </w:pP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40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Тестирование</w:t>
            </w:r>
          </w:p>
        </w:tc>
      </w:tr>
      <w:tr>
        <w:trPr>
          <w:trHeight w:hRule="atLeast" w:val="60"/>
        </w:trPr>
        <w:tc>
          <w:tcPr>
            <w:tcW w:w="10773" w:type="dxa"/>
            <w:gridSpan w:val="5"/>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3. Поведенческие качества:</w:t>
            </w:r>
          </w:p>
        </w:tc>
      </w:tr>
      <w:tr>
        <w:trPr>
          <w:trHeight w:hRule="atLeast" w:val="45"/>
        </w:trPr>
        <w:tc>
          <w:tcPr>
            <w:tcW w:w="223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3.1. Конфликтность (отношение ребенка к столкновению интересов (спору) в процессе взаимодействия)</w:t>
            </w:r>
          </w:p>
        </w:tc>
        <w:tc>
          <w:tcPr>
            <w:tcW w:w="223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Способность занять определенную позицию в конфликтной ситуации</w:t>
            </w:r>
          </w:p>
        </w:tc>
        <w:tc>
          <w:tcPr>
            <w:tcW w:w="2193"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периодически провоцирует конфликты</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сам в конфликтах не участвует, старается их избегать</w:t>
            </w:r>
          </w:p>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пытается самостоятельно уладить возникающие конфликты</w:t>
            </w:r>
          </w:p>
        </w:tc>
        <w:tc>
          <w:tcPr>
            <w:tcW w:w="1701"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0</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br w:type="textWrapping"/>
              <w:t>10</w:t>
            </w:r>
          </w:p>
        </w:tc>
        <w:tc>
          <w:tcPr>
            <w:tcW w:w="240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Тестирование, метод незаконченного предложения</w:t>
            </w:r>
          </w:p>
        </w:tc>
      </w:tr>
      <w:tr>
        <w:trPr>
          <w:trHeight w:hRule="atLeast" w:val="45"/>
        </w:trPr>
        <w:tc>
          <w:tcPr>
            <w:tcW w:w="2232"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3.2. Тип сотрудничества (отношение ребенка к общим делам детского объединения)</w:t>
            </w:r>
          </w:p>
        </w:tc>
        <w:tc>
          <w:tcPr>
            <w:tcW w:w="2238"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Умение воспринимать общие дела как свои собственные</w:t>
            </w:r>
          </w:p>
        </w:tc>
        <w:tc>
          <w:tcPr>
            <w:tcW w:w="2193"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 избегает участия в общих делах - участвует при побуждении извне - инициативен в общих делах</w:t>
            </w:r>
          </w:p>
        </w:tc>
        <w:tc>
          <w:tcPr>
            <w:tcW w:w="1701"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0</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5</w:t>
            </w:r>
          </w:p>
          <w:p>
            <w:pPr>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2409"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hideMark/>
          </w:tcPr>
          <w:p>
            <w:pPr>
              <w:spacing w:lineRule="auto" w:line="240" w:after="150" w:beforeAutospacing="0" w:afterAutospacing="0"/>
              <w:rPr>
                <w:rFonts w:ascii="Times New Roman" w:hAnsi="Times New Roman"/>
                <w:color w:val="000000"/>
                <w:sz w:val="24"/>
              </w:rPr>
            </w:pPr>
            <w:r>
              <w:rPr>
                <w:rFonts w:ascii="Times New Roman" w:hAnsi="Times New Roman"/>
                <w:color w:val="000000"/>
                <w:sz w:val="24"/>
              </w:rPr>
              <w:t>Наблюдение</w:t>
            </w:r>
          </w:p>
        </w:tc>
      </w:tr>
    </w:tbl>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br w:type="textWrapping"/>
      </w:r>
    </w:p>
    <w:p>
      <w:pPr>
        <w:shd w:val="clear" w:fill="FFFFFF"/>
        <w:spacing w:lineRule="auto" w:line="240" w:after="150" w:beforeAutospacing="0" w:afterAutospacing="0"/>
        <w:jc w:val="right"/>
        <w:rPr>
          <w:rFonts w:ascii="Times New Roman" w:hAnsi="Times New Roman"/>
          <w:color w:val="000000"/>
          <w:sz w:val="24"/>
        </w:rPr>
      </w:pPr>
      <w:r>
        <w:rPr>
          <w:rFonts w:ascii="Times New Roman" w:hAnsi="Times New Roman"/>
          <w:color w:val="000000"/>
          <w:sz w:val="24"/>
        </w:rPr>
        <w:br w:type="textWrapping"/>
        <w:t>Приложение 2.</w:t>
      </w: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Тематика курса с заданиями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1. ШАХМАТНАЯ ДОСКА Шахматная доска, белые и черные поля, горизонталь, вертикаль, диагональ, центр.</w:t>
      </w:r>
    </w:p>
    <w:p>
      <w:pPr>
        <w:shd w:val="clear" w:fill="FFFFFF"/>
        <w:spacing w:lineRule="auto" w:line="240" w:after="150" w:beforeAutospacing="0" w:afterAutospacing="0"/>
        <w:jc w:val="center"/>
        <w:rPr>
          <w:rFonts w:ascii="Times New Roman" w:hAnsi="Times New Roman"/>
          <w:color w:val="000000"/>
          <w:sz w:val="24"/>
        </w:rPr>
      </w:pPr>
      <w:r>
        <w:rPr>
          <w:rFonts w:ascii="Times New Roman" w:hAnsi="Times New Roman"/>
          <w:color w:val="000000"/>
          <w:sz w:val="24"/>
        </w:rPr>
        <w:t>Дидактические игры и задания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«Горизонталь». Двое играющих по очереди заполняют одну из горизонтальных линий шахматной доски кубиками (фишками, пешками и т. п.). «Вертикаль». То же самое, но заполняется одна из вертикальных линий шахматной доски. «Диагональ». То же самое, но заполняется одна из диагоналей шахматной доски.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2. ХОДЫ И ВЗЯТИЕ ФИГУР.</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 Шахматные фигуры. Белые, черные, ладья, слон, ферзь, конь, пешка, король.</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Начальное положение. Ладья. Слон. Ладья против слона. Ферзь. Ферзь против ладьи и слона. Конь. Конь против ферзя, ладьи, слона.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Дидактические игры и задания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«Угадай-ка». Педагог словесно описывает одну из шахматных фигур, дети должны догадаться, что это за фигура.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«Угадай». Педагог загадывает про себя одну из фигур, а дети по очереди пытаются угадать, какая фигура загадана. «Что общего?» Педагог берет две шахматные фигуры и спрашивает учеников, чем они похожи друг на друга. Чем отличаются? (Цветом, формой.) «Большая и маленькая». На столе шесть разных фигур. Дети называют самую высокую фигуру и ставят ее в сторону. Задача: поставить все фигуры по высоте.</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Дидактические игры и задания «Мешочек». Ученики по одной вынимают из мешочка шахматные фигуры и постепенно расставляют начальную позицию. «Да и нет». Педагог берет две шахматные фигурки и спрашивает детей, стоят ли эти фигуры рядом в начальном положении.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Ходы и взятие фигур.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Дидактические игры и задания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«Лабиринт». Белая фигура должна достичь определенной клетки шахматной доски, не становясь на «заминированные» поля и не перепрыгивая их.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 «Кратчайший путь». За минимальное число ходов белая фигура должна достичь определенной клетки шахматной доски.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«Защита контрольного поля». Эта игра подобна предыдущей, но при точной игре обеих сторон не имеет победителя. «Атака неприятельской фигуры». Белая фигура должна за один ход напасть на черную фигуру, но так, чтобы не оказаться под боем. «Двойной удар». Белой фигурой надо напасть одновременно на две черные фигуры. «Взятие». Из нескольких возможных взятий надо выбрать лучшее — побить незащищенную фигуру. «Защита». Здесь нужно одной белой фигурой защитить другую, стоящую под боем. «Выиграй фигуру». Белые должны сделать такой ход, чтобы при любом ответе черных они проиграли одну из своих фигур. «Ограничение подвижности». Это разновидность «игры на уничтожение», но с «заминированными» полями. Выигрывает тот, кто побьет все фигуры противника.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Примечание.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3. ЦЕЛЬ И РЕЗУЛЬТАТ ШАХМАТНЫЙ ПАРТИЙ. ШАХ, МАТ И ПАТ. Пешка. Пешка против ферзя, ладьи, коня, слона. Король. Король против других фигур. Шах, мат, пат, ничья, мат в один ход, длинная и короткая рокировка и ее правила.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4. ЗАПИСЬ ШАХМАТНЫХ ХОДОВ. Условные обозначения, перемещение, взятие. Рокировка.</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5. ЦЕННОСТЬ ШАХМАТНЫХ ФИГУР. НАПАДЕНИЕ И ЗАЩИТА, РАЗМЕН. Ценность фигур. Единица измерения ценности. Размен. Равноценный и неравноценный размен.</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6. ОБЩИЕ ПРИНЦИПЫ РАЗЫГРЫВАНИЯ ДЕБЮТА. Мобилизация фигур, безопасность короля, борьба за центр и расположение пешек в дебюте. Игра всеми фигурами из начального положения. Самые общие представления о том, как начинать шахматную партию.</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Дидактические игры и задания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Классификация дебютов. Анализ учебных партий. Раннее развитие ферзя.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Дидактические игры и задания</w:t>
      </w:r>
    </w:p>
    <w:p>
      <w:pPr>
        <w:shd w:val="clear" w:fill="FFFFFF"/>
        <w:spacing w:lineRule="auto" w:line="240" w:after="150" w:beforeAutospacing="0" w:afterAutospacing="0"/>
        <w:rPr>
          <w:rFonts w:ascii="Times New Roman" w:hAnsi="Times New Roman"/>
          <w:color w:val="000000"/>
          <w:sz w:val="24"/>
        </w:rPr>
      </w:pPr>
      <w:r>
        <w:rPr>
          <w:rFonts w:ascii="Times New Roman" w:hAnsi="Times New Roman"/>
          <w:color w:val="000000"/>
          <w:sz w:val="24"/>
        </w:rPr>
        <w:t>«Шах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 положений, в которых ученики должны определить: дан ли мат черному королю. «Первый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w:t>
      </w:r>
    </w:p>
    <w:p>
      <w:pPr>
        <w:rPr>
          <w:rFonts w:ascii="Times New Roman" w:hAnsi="Times New Roman"/>
          <w:sz w:val="24"/>
        </w:rPr>
      </w:pPr>
      <w:bookmarkStart w:id="4" w:name="_GoBack"/>
      <w:bookmarkEnd w:id="4"/>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190D39C5"/>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
    <w:nsid w:val="2C4F206E"/>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
    <w:nsid w:val="36673C2C"/>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3">
    <w:nsid w:val="4AA432B5"/>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4">
    <w:nsid w:val="4D4644E3"/>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5">
    <w:nsid w:val="4EDF0CF0"/>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
    <w:nsid w:val="4EEC6C62"/>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7">
    <w:nsid w:val="5A257F60"/>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8">
    <w:nsid w:val="5B61570B"/>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9">
    <w:nsid w:val="6047595F"/>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0">
    <w:nsid w:val="6A3014AB"/>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1">
    <w:nsid w:val="6FC1195C"/>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2">
    <w:nsid w:val="745B2970"/>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num w:numId="1">
    <w:abstractNumId w:val="11"/>
  </w:num>
  <w:num w:numId="2">
    <w:abstractNumId w:val="5"/>
  </w:num>
  <w:num w:numId="3">
    <w:abstractNumId w:val="7"/>
  </w:num>
  <w:num w:numId="4">
    <w:abstractNumId w:val="2"/>
  </w:num>
  <w:num w:numId="5">
    <w:abstractNumId w:val="0"/>
  </w:num>
  <w:num w:numId="6">
    <w:abstractNumId w:val="9"/>
  </w:num>
  <w:num w:numId="7">
    <w:abstractNumId w:val="12"/>
  </w:num>
  <w:num w:numId="8">
    <w:abstractNumId w:val="10"/>
  </w:num>
  <w:num w:numId="9">
    <w:abstractNumId w:val="8"/>
  </w:num>
  <w:num w:numId="10">
    <w:abstractNumId w:val="1"/>
  </w:num>
  <w:num w:numId="11">
    <w:abstractNumId w:val="4"/>
  </w:num>
  <w:num w:numId="12">
    <w:abstractNumId w:val="3"/>
  </w:num>
  <w:num w:numId="13">
    <w:abstractNumId w:val="6"/>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3"/>
    <w:qFormat/>
    <w:pPr>
      <w:keepNext w:val="1"/>
      <w:keepLines w:val="1"/>
      <w:spacing w:before="240" w:after="0" w:beforeAutospacing="0" w:afterAutospacing="0"/>
      <w:outlineLvl w:val="0"/>
    </w:pPr>
    <w:rPr>
      <w:color w:val="2E74B5"/>
      <w:sz w:val="32"/>
    </w:rPr>
  </w:style>
  <w:style w:type="paragraph" w:styleId="P2">
    <w:name w:val="heading 2"/>
    <w:basedOn w:val="P0"/>
    <w:next w:val="P0"/>
    <w:link w:val="C4"/>
    <w:qFormat/>
    <w:pPr>
      <w:keepNext w:val="1"/>
      <w:keepLines w:val="1"/>
      <w:spacing w:before="40" w:after="0" w:beforeAutospacing="0" w:afterAutospacing="0"/>
      <w:outlineLvl w:val="1"/>
    </w:pPr>
    <w:rPr>
      <w:color w:val="2E74B5"/>
      <w:sz w:val="26"/>
    </w:rPr>
  </w:style>
  <w:style w:type="paragraph" w:styleId="P3">
    <w:name w:val="heading 3"/>
    <w:basedOn w:val="P0"/>
    <w:next w:val="P0"/>
    <w:link w:val="C5"/>
    <w:qFormat/>
    <w:pPr>
      <w:keepNext w:val="1"/>
      <w:keepLines w:val="1"/>
      <w:spacing w:before="40" w:after="0" w:beforeAutospacing="0" w:afterAutospacing="0"/>
      <w:outlineLvl w:val="2"/>
    </w:pPr>
    <w:rPr>
      <w:color w:val="1F4D78"/>
      <w:sz w:val="24"/>
    </w:rPr>
  </w:style>
  <w:style w:type="paragraph" w:styleId="P4">
    <w:name w:val="heading 4"/>
    <w:basedOn w:val="P0"/>
    <w:next w:val="P0"/>
    <w:link w:val="C6"/>
    <w:qFormat/>
    <w:pPr>
      <w:keepNext w:val="1"/>
      <w:keepLines w:val="1"/>
      <w:spacing w:before="40" w:after="0" w:beforeAutospacing="0" w:afterAutospacing="0"/>
      <w:outlineLvl w:val="3"/>
    </w:pPr>
    <w:rPr>
      <w:i w:val="1"/>
      <w:color w:val="2E74B5"/>
    </w:rPr>
  </w:style>
  <w:style w:type="paragraph" w:styleId="P5">
    <w:name w:val="msonormal"/>
    <w:basedOn w:val="P0"/>
    <w:pPr>
      <w:spacing w:lineRule="auto" w:line="240" w:before="100" w:after="100" w:beforeAutospacing="1" w:afterAutospacing="1"/>
    </w:pPr>
    <w:rPr>
      <w:rFonts w:ascii="Times New Roman" w:hAnsi="Times New Roman"/>
      <w:sz w:val="24"/>
    </w:rPr>
  </w:style>
  <w:style w:type="paragraph" w:styleId="P6">
    <w:name w:val="Normal (Web)"/>
    <w:basedOn w:val="P0"/>
    <w:semiHidden/>
    <w:pPr>
      <w:spacing w:lineRule="auto" w:line="240" w:before="100" w:after="100" w:beforeAutospacing="1" w:afterAutospacing="1"/>
    </w:pPr>
    <w:rPr>
      <w:rFonts w:ascii="Times New Roman" w:hAnsi="Times New Roman"/>
      <w:sz w:val="24"/>
    </w:rPr>
  </w:style>
  <w:style w:type="paragraph" w:styleId="P7">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Заголовок 1 Знак"/>
    <w:basedOn w:val="C0"/>
    <w:link w:val="P1"/>
    <w:rPr>
      <w:color w:val="2E74B5"/>
      <w:sz w:val="32"/>
    </w:rPr>
  </w:style>
  <w:style w:type="character" w:styleId="C4">
    <w:name w:val="Заголовок 2 Знак"/>
    <w:basedOn w:val="C0"/>
    <w:link w:val="P2"/>
    <w:rPr>
      <w:color w:val="2E74B5"/>
      <w:sz w:val="26"/>
    </w:rPr>
  </w:style>
  <w:style w:type="character" w:styleId="C5">
    <w:name w:val="Заголовок 3 Знак"/>
    <w:basedOn w:val="C0"/>
    <w:link w:val="P3"/>
    <w:rPr>
      <w:color w:val="1F4D78"/>
      <w:sz w:val="24"/>
    </w:rPr>
  </w:style>
  <w:style w:type="character" w:styleId="C6">
    <w:name w:val="Заголовок 4 Знак"/>
    <w:basedOn w:val="C0"/>
    <w:link w:val="P4"/>
    <w:rPr>
      <w:i w:val="1"/>
      <w:color w:val="2E74B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 w:type="numbering" w:styleId="N1">
    <w:name w:val="Нет списка1"/>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